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1º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ASIGNATURA:Educación Física.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Criterios de calificación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esta materia no se sigue libro, se realizarán distintos ejercicios en el patio del colegio.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cada trimestre se realizarán distintos bloques para que los alumnos desarrollen sus capacidades motrices adecuadas a su edad.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 calificación de la materia se tendrá en cuenta el trabajo de grupo,el individual,el cumplimiento de las reglas de los juegos, la participación e interés mostrado en las distintas actividades que se desarrollan a lo largo del curso.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 ello mediante la observación del alumnado.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